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5"/>
        <w:jc w:val="both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</w:r>
      <w:r/>
    </w:p>
    <w:p>
      <w:pPr>
        <w:pStyle w:val="885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88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bookmarkStart w:id="0" w:name="_Hlk69479824"/>
      <w:r>
        <w:rPr>
          <w:rFonts w:ascii="Times New Roman" w:hAnsi="Times New Roman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мероприятий по реализации в 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2026 годах Стратегии государственной политики </w:t>
      </w:r>
      <w:r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в отношении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российского казачества на 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2030 годы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Еврейской автономной области</w:t>
      </w:r>
      <w:bookmarkEnd w:id="0"/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ind w:right="-2"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/>
      <w:bookmarkStart w:id="1" w:name="_Hlk65838958"/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sz w:val="28"/>
          <w:szCs w:val="28"/>
          <w:lang w:eastAsia="ru-RU"/>
        </w:rPr>
        <w:t xml:space="preserve">т</w:t>
      </w:r>
      <w:r>
        <w:rPr>
          <w:rFonts w:ascii="Times New Roman" w:hAnsi="Times New Roman"/>
          <w:sz w:val="28"/>
          <w:szCs w:val="28"/>
          <w:lang w:eastAsia="ru-RU"/>
        </w:rPr>
        <w:t xml:space="preserve">ратегии го</w:t>
      </w:r>
      <w:r>
        <w:rPr>
          <w:rFonts w:ascii="Times New Roman" w:hAnsi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sz w:val="28"/>
          <w:szCs w:val="28"/>
          <w:lang w:eastAsia="ru-RU"/>
        </w:rPr>
        <w:t xml:space="preserve">ударственной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политики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Федерации в отношении российского казачества на 2021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eastAsia="ru-RU"/>
        </w:rPr>
        <w:t xml:space="preserve">2030 годы,</w:t>
      </w:r>
      <w:r>
        <w:rPr>
          <w:rFonts w:ascii="Times New Roman" w:hAnsi="Times New Roman"/>
          <w:sz w:val="28"/>
          <w:szCs w:val="28"/>
          <w:lang w:eastAsia="ru-RU"/>
        </w:rPr>
        <w:t xml:space="preserve"> утвержденной 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казом Президента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.08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2020 </w:t>
      </w:r>
      <w:r>
        <w:rPr>
          <w:rFonts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505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Стратегии государственной политики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от</w:t>
      </w:r>
      <w:r>
        <w:rPr>
          <w:rFonts w:ascii="Times New Roman" w:hAnsi="Times New Roman"/>
          <w:sz w:val="28"/>
          <w:szCs w:val="28"/>
          <w:lang w:eastAsia="ru-RU"/>
        </w:rPr>
        <w:t xml:space="preserve">ношени</w:t>
      </w:r>
      <w:r>
        <w:rPr>
          <w:rFonts w:ascii="Times New Roman" w:hAnsi="Times New Roman"/>
          <w:sz w:val="28"/>
          <w:szCs w:val="28"/>
          <w:lang w:eastAsia="ru-RU"/>
        </w:rPr>
        <w:t xml:space="preserve">и росс</w:t>
      </w:r>
      <w:r>
        <w:rPr>
          <w:rFonts w:ascii="Times New Roman" w:hAnsi="Times New Roman"/>
          <w:sz w:val="28"/>
          <w:szCs w:val="28"/>
          <w:lang w:eastAsia="ru-RU"/>
        </w:rPr>
        <w:t xml:space="preserve">ийского казачества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2021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eastAsia="ru-RU"/>
        </w:rPr>
        <w:t xml:space="preserve">2030 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/>
          <w:sz w:val="28"/>
          <w:szCs w:val="28"/>
          <w:lang w:eastAsia="ru-RU"/>
        </w:rPr>
        <w:t xml:space="preserve">аспоряжения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18.11.2023 № 3248-р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плана меро</w:t>
      </w:r>
      <w:r>
        <w:rPr>
          <w:rFonts w:ascii="Times New Roman" w:hAnsi="Times New Roman"/>
          <w:sz w:val="28"/>
          <w:szCs w:val="28"/>
          <w:lang w:eastAsia="ru-RU"/>
        </w:rPr>
        <w:t xml:space="preserve">приятий </w:t>
      </w:r>
      <w:r>
        <w:rPr>
          <w:rFonts w:ascii="Times New Roman" w:hAnsi="Times New Roman"/>
          <w:sz w:val="28"/>
          <w:szCs w:val="28"/>
          <w:lang w:eastAsia="ru-RU"/>
        </w:rPr>
        <w:t xml:space="preserve">на 2024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026 годы по реализации Ст</w:t>
      </w:r>
      <w:r>
        <w:rPr>
          <w:rFonts w:ascii="Times New Roman" w:hAnsi="Times New Roman"/>
          <w:sz w:val="28"/>
          <w:szCs w:val="28"/>
          <w:lang w:eastAsia="ru-RU"/>
        </w:rPr>
        <w:t xml:space="preserve">ра</w:t>
      </w:r>
      <w:r>
        <w:rPr>
          <w:rFonts w:ascii="Times New Roman" w:hAnsi="Times New Roman"/>
          <w:sz w:val="28"/>
          <w:szCs w:val="28"/>
          <w:lang w:eastAsia="ru-RU"/>
        </w:rPr>
        <w:t xml:space="preserve">тегии государственной политики Российской Федерации в от</w:t>
      </w:r>
      <w:r>
        <w:rPr>
          <w:rFonts w:ascii="Times New Roman" w:hAnsi="Times New Roman"/>
          <w:sz w:val="28"/>
          <w:szCs w:val="28"/>
          <w:lang w:eastAsia="ru-RU"/>
        </w:rPr>
        <w:t xml:space="preserve">нош</w:t>
      </w:r>
      <w:r>
        <w:rPr>
          <w:rFonts w:ascii="Times New Roman" w:hAnsi="Times New Roman"/>
          <w:sz w:val="28"/>
          <w:szCs w:val="28"/>
          <w:lang w:eastAsia="ru-RU"/>
        </w:rPr>
        <w:t xml:space="preserve">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рос</w:t>
      </w:r>
      <w:r>
        <w:rPr>
          <w:rFonts w:ascii="Times New Roman" w:hAnsi="Times New Roman"/>
          <w:sz w:val="28"/>
          <w:szCs w:val="28"/>
          <w:lang w:eastAsia="ru-RU"/>
        </w:rPr>
        <w:t xml:space="preserve">сий</w:t>
      </w:r>
      <w:r>
        <w:rPr>
          <w:rFonts w:ascii="Times New Roman" w:hAnsi="Times New Roman"/>
          <w:sz w:val="28"/>
          <w:szCs w:val="28"/>
          <w:lang w:eastAsia="ru-RU"/>
        </w:rPr>
        <w:t xml:space="preserve">ского казачества на 2021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2030 </w:t>
      </w:r>
      <w:r>
        <w:rPr>
          <w:rFonts w:ascii="Times New Roman" w:hAnsi="Times New Roman"/>
          <w:sz w:val="28"/>
          <w:szCs w:val="28"/>
          <w:lang w:eastAsia="ru-RU"/>
        </w:rPr>
        <w:t xml:space="preserve">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/>
    </w:p>
    <w:p>
      <w:pPr>
        <w:pStyle w:val="885"/>
        <w:ind w:right="-2"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 мероприятий по реализации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eastAsia="ru-RU"/>
        </w:rPr>
        <w:t xml:space="preserve">в 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2026 годах Стратегии государственной 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Федерации в отношении российского казачества на 2021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/>
          <w:sz w:val="28"/>
          <w:szCs w:val="28"/>
          <w:lang w:eastAsia="ru-RU"/>
        </w:rPr>
        <w:t xml:space="preserve">2030 годы </w:t>
      </w: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lang w:eastAsia="ru-RU"/>
        </w:rPr>
        <w:t xml:space="preserve">вр</w:t>
      </w:r>
      <w:r>
        <w:rPr>
          <w:rFonts w:ascii="Times New Roman" w:hAnsi="Times New Roman"/>
          <w:sz w:val="28"/>
          <w:szCs w:val="28"/>
          <w:lang w:eastAsia="ru-RU"/>
        </w:rPr>
        <w:t xml:space="preserve">ейско</w:t>
      </w:r>
      <w:r>
        <w:rPr>
          <w:rFonts w:ascii="Times New Roman" w:hAnsi="Times New Roman"/>
          <w:sz w:val="28"/>
          <w:szCs w:val="28"/>
          <w:lang w:eastAsia="ru-RU"/>
        </w:rPr>
        <w:t xml:space="preserve">й а</w:t>
      </w:r>
      <w:r>
        <w:rPr>
          <w:rFonts w:ascii="Times New Roman" w:hAnsi="Times New Roman"/>
          <w:sz w:val="28"/>
          <w:szCs w:val="28"/>
          <w:lang w:eastAsia="ru-RU"/>
        </w:rPr>
        <w:t xml:space="preserve">вт</w:t>
      </w:r>
      <w:r>
        <w:rPr>
          <w:rFonts w:ascii="Times New Roman" w:hAnsi="Times New Roman"/>
          <w:sz w:val="28"/>
          <w:szCs w:val="28"/>
          <w:lang w:eastAsia="ru-RU"/>
        </w:rPr>
        <w:t xml:space="preserve">ономной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далее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85"/>
        <w:ind w:right="-2"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рганам исполнительной власти Еврейской автономной области, формируемым правительством Еврейской автономной области, структурным подразделениям аппарата губернатора и правитель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ства Еврейской автономной област</w:t>
      </w:r>
      <w:r>
        <w:rPr>
          <w:rFonts w:ascii="Times New Roman" w:hAnsi="Times New Roman"/>
          <w:sz w:val="28"/>
          <w:szCs w:val="28"/>
          <w:lang w:eastAsia="ru-RU"/>
        </w:rPr>
        <w:t xml:space="preserve">и, ответств</w:t>
      </w:r>
      <w:r>
        <w:rPr>
          <w:rFonts w:ascii="Times New Roman" w:hAnsi="Times New Roman"/>
          <w:sz w:val="28"/>
          <w:szCs w:val="28"/>
          <w:lang w:eastAsia="ru-RU"/>
        </w:rPr>
        <w:t xml:space="preserve">енным за реа</w:t>
      </w:r>
      <w:r>
        <w:rPr>
          <w:rFonts w:ascii="Times New Roman" w:hAnsi="Times New Roman"/>
          <w:sz w:val="28"/>
          <w:szCs w:val="28"/>
          <w:lang w:eastAsia="ru-RU"/>
        </w:rPr>
        <w:t xml:space="preserve">лиза</w:t>
      </w:r>
      <w:r>
        <w:rPr>
          <w:rFonts w:ascii="Times New Roman" w:hAnsi="Times New Roman"/>
          <w:sz w:val="28"/>
          <w:szCs w:val="28"/>
          <w:lang w:eastAsia="ru-RU"/>
        </w:rPr>
        <w:t xml:space="preserve">цию мероприятий Плана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один раз в полугодие (до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января и до 20 июля)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представлять в управление по внутренней политике </w:t>
      </w:r>
      <w:r>
        <w:rPr>
          <w:rFonts w:ascii="Times New Roman" w:hAnsi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lang w:eastAsia="ru-RU"/>
        </w:rPr>
        <w:t xml:space="preserve">врейской автономной области отчет об испо</w:t>
      </w:r>
      <w:r>
        <w:rPr>
          <w:rFonts w:ascii="Times New Roman" w:hAnsi="Times New Roman"/>
          <w:sz w:val="28"/>
          <w:szCs w:val="28"/>
          <w:lang w:eastAsia="ru-RU"/>
        </w:rPr>
        <w:t xml:space="preserve">лнении ме</w:t>
      </w:r>
      <w:r>
        <w:rPr>
          <w:rFonts w:ascii="Times New Roman" w:hAnsi="Times New Roman"/>
          <w:sz w:val="28"/>
          <w:szCs w:val="28"/>
          <w:lang w:eastAsia="ru-RU"/>
        </w:rPr>
        <w:t xml:space="preserve">роприятий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Плана.</w:t>
      </w:r>
      <w:r/>
    </w:p>
    <w:p>
      <w:pPr>
        <w:pStyle w:val="885"/>
        <w:ind w:right="-2"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/>
          <w:sz w:val="28"/>
          <w:szCs w:val="28"/>
          <w:lang w:eastAsia="ru-RU"/>
        </w:rPr>
        <w:t xml:space="preserve">екомендовать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орг</w:t>
      </w:r>
      <w:r>
        <w:rPr>
          <w:rFonts w:ascii="Times New Roman" w:hAnsi="Times New Roman"/>
          <w:sz w:val="28"/>
          <w:szCs w:val="28"/>
          <w:lang w:eastAsia="ru-RU"/>
        </w:rPr>
        <w:t xml:space="preserve">ана</w:t>
      </w:r>
      <w:r>
        <w:rPr>
          <w:rFonts w:ascii="Times New Roman" w:hAnsi="Times New Roman"/>
          <w:sz w:val="28"/>
          <w:szCs w:val="28"/>
          <w:lang w:eastAsia="ru-RU"/>
        </w:rPr>
        <w:t xml:space="preserve">м местно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самоуправле</w:t>
      </w:r>
      <w:r>
        <w:rPr>
          <w:rFonts w:ascii="Times New Roman" w:hAnsi="Times New Roman"/>
          <w:sz w:val="28"/>
          <w:szCs w:val="28"/>
          <w:lang w:eastAsia="ru-RU"/>
        </w:rPr>
        <w:t xml:space="preserve">ния муниципальных </w:t>
      </w:r>
      <w:r>
        <w:rPr>
          <w:rFonts w:ascii="Times New Roman" w:hAnsi="Times New Roman"/>
          <w:sz w:val="28"/>
          <w:szCs w:val="28"/>
          <w:lang w:eastAsia="ru-RU"/>
        </w:rPr>
        <w:t xml:space="preserve">районов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городского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Еврейской автономной области, территориальным органам федеральных органов исполнительной власти и организациям, ответственным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за реализацию мероприятий Плана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один раз в полугодие (до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января и до 20 июля)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представлять в управление по внутренней политике </w:t>
      </w:r>
      <w:r>
        <w:rPr>
          <w:rFonts w:ascii="Times New Roman" w:hAnsi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lang w:eastAsia="ru-RU"/>
        </w:rPr>
        <w:t xml:space="preserve">врейской автономной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отчет об исполнении мероприятий Плана.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85"/>
        <w:ind w:right="-2"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Управлению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 xml:space="preserve">внутренней по</w:t>
      </w:r>
      <w:r>
        <w:rPr>
          <w:rFonts w:ascii="Times New Roman" w:hAnsi="Times New Roman"/>
          <w:sz w:val="28"/>
          <w:szCs w:val="28"/>
          <w:lang w:eastAsia="ru-RU"/>
        </w:rPr>
        <w:t xml:space="preserve">литике </w:t>
      </w:r>
      <w:r>
        <w:rPr>
          <w:rFonts w:ascii="Times New Roman" w:hAnsi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  <w:lang w:eastAsia="ru-RU"/>
        </w:rPr>
        <w:t xml:space="preserve">врейской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автономной области </w:t>
      </w:r>
      <w:r>
        <w:rPr>
          <w:rFonts w:ascii="Times New Roman" w:hAnsi="Times New Roman"/>
          <w:sz w:val="28"/>
          <w:szCs w:val="28"/>
        </w:rPr>
        <w:t xml:space="preserve">один раз в полугодие (до 01</w:t>
      </w:r>
      <w:r>
        <w:rPr>
          <w:rFonts w:ascii="Times New Roman" w:hAnsi="Times New Roman"/>
          <w:sz w:val="28"/>
          <w:szCs w:val="28"/>
        </w:rPr>
        <w:t xml:space="preserve"> февраля и до 01 августа)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</w:t>
      </w:r>
      <w:r>
        <w:rPr>
          <w:rFonts w:ascii="Times New Roman" w:hAnsi="Times New Roman"/>
          <w:sz w:val="28"/>
          <w:szCs w:val="28"/>
          <w:lang w:eastAsia="ru-RU"/>
        </w:rPr>
        <w:t xml:space="preserve">рмировать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Федеральное </w:t>
      </w:r>
      <w:r>
        <w:rPr>
          <w:rFonts w:ascii="Times New Roman" w:hAnsi="Times New Roman"/>
          <w:sz w:val="28"/>
          <w:szCs w:val="28"/>
          <w:lang w:eastAsia="ru-RU"/>
        </w:rPr>
        <w:t xml:space="preserve">агентство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по делам национальностей об исполнении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мероприятий Плана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85"/>
        <w:ind w:right="-2"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распоряжение вступает в силу со дня 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подписания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/>
    </w:p>
    <w:p>
      <w:pPr>
        <w:pStyle w:val="88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8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85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85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Губернатор области</w:t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Р.Э. Гольдштейн</w:t>
      </w:r>
      <w:r/>
    </w:p>
    <w:p>
      <w:pPr>
        <w:pStyle w:val="885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spacing w:after="0" w:line="240" w:lineRule="auto"/>
        <w:rPr>
          <w:rFonts w:ascii="Times New Roman" w:hAnsi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97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7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7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аспоряж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нием прав</w:t>
      </w:r>
      <w:r>
        <w:rPr>
          <w:rFonts w:ascii="Times New Roman" w:hAnsi="Times New Roman" w:cs="Times New Roman"/>
          <w:sz w:val="28"/>
          <w:szCs w:val="28"/>
        </w:rPr>
        <w:t xml:space="preserve">ительства Еврейск</w:t>
      </w:r>
      <w:r>
        <w:rPr>
          <w:rFonts w:ascii="Times New Roman" w:hAnsi="Times New Roman" w:cs="Times New Roman"/>
          <w:sz w:val="28"/>
          <w:szCs w:val="28"/>
        </w:rPr>
        <w:t xml:space="preserve">ой автономной области</w:t>
      </w:r>
      <w:r/>
    </w:p>
    <w:p>
      <w:pPr>
        <w:pStyle w:val="885"/>
        <w:ind w:left="10773" w:right="-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</w:t>
      </w:r>
      <w:r>
        <w:rPr>
          <w:rFonts w:ascii="Times New Roman" w:hAnsi="Times New Roman"/>
          <w:sz w:val="28"/>
          <w:szCs w:val="28"/>
        </w:rPr>
        <w:t xml:space="preserve">______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_ </w:t>
      </w:r>
      <w:r>
        <w:rPr>
          <w:rFonts w:ascii="Times New Roman" w:hAnsi="Times New Roman"/>
          <w:sz w:val="28"/>
          <w:szCs w:val="28"/>
        </w:rPr>
        <w:t xml:space="preserve">______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__</w:t>
      </w:r>
      <w:r>
        <w:rPr>
          <w:rFonts w:ascii="Times New Roman" w:hAnsi="Times New Roman"/>
          <w:sz w:val="28"/>
          <w:szCs w:val="28"/>
        </w:rPr>
        <w:t xml:space="preserve">_</w:t>
      </w:r>
      <w:r/>
    </w:p>
    <w:p>
      <w:pPr>
        <w:pStyle w:val="885"/>
        <w:contextualSpacing/>
        <w:jc w:val="center"/>
        <w:spacing w:after="0" w:line="240" w:lineRule="auto"/>
        <w:rPr>
          <w:rFonts w:ascii="Times New Roman" w:hAnsi="Times New Roman" w:eastAsia="Times New Roman"/>
          <w:bCs/>
          <w:color w:val="000000"/>
          <w:spacing w:val="-11"/>
          <w:sz w:val="28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pacing w:val="-11"/>
          <w:sz w:val="28"/>
          <w:szCs w:val="24"/>
          <w:lang w:eastAsia="ru-RU"/>
        </w:rPr>
      </w:r>
      <w:r/>
    </w:p>
    <w:p>
      <w:pPr>
        <w:pStyle w:val="885"/>
        <w:ind w:right="-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/>
      <w:bookmarkStart w:id="2" w:name="_Hlk69479760"/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лан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ind w:right="-2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реализации в 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годах Стратегии государственной политики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Российской Федерации в отношени</w:t>
      </w:r>
      <w:r>
        <w:rPr>
          <w:rFonts w:ascii="Times New Roman" w:hAnsi="Times New Roman"/>
          <w:sz w:val="28"/>
          <w:szCs w:val="28"/>
        </w:rPr>
        <w:t xml:space="preserve">и российского к</w:t>
      </w:r>
      <w:r>
        <w:rPr>
          <w:rFonts w:ascii="Times New Roman" w:hAnsi="Times New Roman"/>
          <w:sz w:val="28"/>
          <w:szCs w:val="28"/>
        </w:rPr>
        <w:t xml:space="preserve">азачества </w:t>
      </w:r>
      <w:r>
        <w:rPr>
          <w:rFonts w:ascii="Times New Roman" w:hAnsi="Times New Roman"/>
          <w:sz w:val="28"/>
          <w:szCs w:val="28"/>
        </w:rPr>
        <w:t xml:space="preserve">на 2021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0 год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на территор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5"/>
        <w:contextualSpacing/>
        <w:ind w:firstLine="851"/>
        <w:jc w:val="center"/>
        <w:spacing w:after="0" w:line="240" w:lineRule="auto"/>
        <w:widowControl w:val="off"/>
        <w:rPr>
          <w:rFonts w:ascii="Times New Roman" w:hAnsi="Times New Roman" w:eastAsia="Times New Roman"/>
          <w:bCs/>
          <w:color w:val="000000"/>
          <w:spacing w:val="-11"/>
          <w:sz w:val="28"/>
          <w:szCs w:val="28"/>
          <w:lang w:eastAsia="ru-RU"/>
        </w:rPr>
      </w:pPr>
      <w:r/>
      <w:bookmarkEnd w:id="2"/>
      <w:r>
        <w:rPr>
          <w:rFonts w:ascii="Times New Roman" w:hAnsi="Times New Roman" w:eastAsia="Times New Roman"/>
          <w:bCs/>
          <w:color w:val="000000"/>
          <w:spacing w:val="-11"/>
          <w:sz w:val="28"/>
          <w:szCs w:val="28"/>
          <w:lang w:eastAsia="ru-RU"/>
        </w:rPr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5"/>
        <w:gridCol w:w="4103"/>
        <w:gridCol w:w="1567"/>
        <w:gridCol w:w="3543"/>
        <w:gridCol w:w="1701"/>
        <w:gridCol w:w="323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-142" w:right="-14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0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нование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7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твенный 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85"/>
        <w:sectPr>
          <w:headerReference w:type="default" r:id="rId10"/>
          <w:headerReference w:type="even" r:id="rId11"/>
          <w:footnotePr/>
          <w:endnotePr/>
          <w:type w:val="nextPage"/>
          <w:pgSz w:w="16838" w:h="11906" w:orient="landscape"/>
          <w:pgMar w:top="851" w:right="1134" w:bottom="1701" w:left="1134" w:header="709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5"/>
        <w:gridCol w:w="4110"/>
        <w:gridCol w:w="1560"/>
        <w:gridCol w:w="3543"/>
        <w:gridCol w:w="1701"/>
        <w:gridCol w:w="3235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center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724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val="en-US" w:eastAsia="ru-RU"/>
              </w:rPr>
              <w:t xml:space="preserve">I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.</w:t>
              <w:tab/>
              <w:t xml:space="preserve">Соверше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нствовани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 xml:space="preserve">е механизма привлечения членов казачьих обществ к несению государственной и иной службы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Еврейской автоном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обл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органов местного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авления)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российского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зачества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внутренней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Еврейско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пункта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Стратегии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осударственной политики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отношении российского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казачества на 2021 – 2030 годы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Стратегия)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оличество прин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тых нормативных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востребованности членов казачьих обществ на государственной и иной службе российского казачества, к которой привлекаются члены казачьих обществ, в соответствии с постановлением Правительства Российской Федерации от 26 февраля 2010 г. № 93 "О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 государственной или иной службы, к которой привлекаются члены хуторских, станичных, городских, районных (юртовых), окружных (отдельских) и войсковых казачьих обществ" (по каждому виду службы)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Постоя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внутренней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Еврейско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чьи общества (по соглас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ованию)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5 Страт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казачьих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государственной или иной службе российского казачества (по каждому виду службы)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ривлечение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членов казачьих обществ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охране общественного 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ядка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жегодно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внутренних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ономной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МВД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чьи общества (по соглас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ованию)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дпункт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пунк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Стратегии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чл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зачьих обществ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охране общественного 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ядка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членов казачьих 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участию в защите государст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венной границы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сийской Федерации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лужб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Биробиджане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Погранично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уп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ьной службы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Российской Федерации по Хабаровскому краю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Еврейской 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ганы местного самоупра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казачьи 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ества (по сог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ласованию)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ind w:left="137" w:right="140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дпункт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Стратегии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ind w:left="141" w:right="14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оличество чл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зачьих обществ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участвующих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защите государственной 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аницы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казачьих обществ к участию в мероприятиях по гражданской обороне в соответствии с принятыми членами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войсковых казачьих обществ обязательствами по несению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лавное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сийско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по 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гражданской обор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оны, чре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ациям и ликв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идации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следствий стихийных бедст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врейской автономной области (далее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МЧС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оссии по ЕАО)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казачьи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одпункт «е» пункта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 Страте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оличество чл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зачьих обществ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участвующ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мероприятиях по гражданской обороне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членов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казачьи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обществ к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по предупрежде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ликвидации чрезвыча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йных ситуаций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ликвидаци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последствий стихийных бедств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остоянно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МЧС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соглас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казачьи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сованию)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одпункт «е» пункта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 Страте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члено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казачьих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тв, участвующих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предупреждению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чрезвычайных ситуаций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последствий стихийных 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ствий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казачьих обществ к реализации мероприятий по обеспечению пожарной безопасности (тушение техногенных пожаров, тушение лесных и природных пожаров, участие в профилактических мероприятиях)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остоянно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МЧС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казачьи общества (по согласова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одпункт «е» пункта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 Страте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85"/>
              <w:contextualSpacing/>
              <w:ind w:left="0" w:right="143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члено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казачьих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тв, участвующих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пожарной безопасности (тушение техногенных пожаров, тушение лесных и природных пожаров, участие в профилактических мероприятиях)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казачьих обществ, входящих в состав добровольной пожарной охраны, к отработке совместных действий с пожарно-спасательными подразделениями при проведении пожарнотактических учений и занятий в рамках пожарно-спасательных гарнизонов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остоянно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МЧС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самоупра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казачьи общества (по согласова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одпункт «е» пункта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 Страте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ство члено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казачьих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тв, входящих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 добровольной пожарной охраны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членов казач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ьих общест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 участию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мероп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ятиях,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правленных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иродоохр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и экологическо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безопасности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епартамент природных ресурсов правительст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Евр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казачьи общес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тва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согласованию)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одпункт «д» пункта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Стратегии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зачьих общест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участвующих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обеспечению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природоохр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анной деяте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льности и экологической безопасности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развитию системы непрерывного образования российского казачества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остоянно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епартамент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Еврейской автономной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казачьи обще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(по согласо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ванию)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«ж» пункт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Стратегии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казачьих обществ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развитию системы непрерывного образования российского казачества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724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Поддержка взаимо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действия между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бъединения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казаков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Всероссийского семинара-совещания «Российское казачество»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политике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автономной области,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азачьи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общества (по сог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нию),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объединени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казако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(по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гласованию)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одпункт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пункта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Стратегии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азачьих обществ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казаков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принявших участие в семинаре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методических семинаров по вопросам участия казачьих обществ в конкурсах для получения грантов в сфере образования и культуры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азачьи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общества (по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казако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(по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гласованию),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сованию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методических семинаров, количество участников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гуманитарной помощи членам казачьих обществ и иных объединений казаков, участвующим (содействующим) в выполнении задач, возложенных на Вооруженные Силы Российской Федерации в период проведения специальной военной операции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остоянно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азачьи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общества (по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казако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(по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гласованию),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«г»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Страте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казачьих обществ, которым оказана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семьям членов казачьих обществ и иных объединений казаков, тяжело раненных или погибших в ходе проведения специальной военной операции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азачьи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общества (по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казако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(по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гласованию),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«г» пункта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Страте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 казаков, которым оказана помощь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724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Содействие воспитанию подр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астающ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коления в духе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патриотизма, гражданской ответственност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готовности к служению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 с опор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на духо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вно-нравст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венные основы и ценнос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российского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участия российског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казаче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в реализации государственной молодеж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литики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и совершенствование имеющихся учебных и учебно-методических пособий по истории и культуре российского казачества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казачьи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«в» пункта 15 Страт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учебников и учебнометодических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парадных расчетов войсковых казачьих обществ Всероссийского казачьего общества и казачьих кадетских корпусов совместно с подразделениями Вооруженных Сил Российской Федерации и других войск в военных парадах и прохождениях войск торжественным маршем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Красной площади в г. Москве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азачьи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общества (по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казако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(по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гласованию),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дпункт «м» пункта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человек из числа членов казачьих обществ и воспитанников казачьих кадетских корпусов, принявших участие в военных парадах и прохождениях войск торжественным маршем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всероссийских научнопрактических конференций по изучению истории российского казачества разных периодов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автономной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казачьи 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 (по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«в» пункта 15 Страт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конференций; количество участников конференций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международной научнопрактической конференции «Церковь и казачество: соработничество на благо Отечества» в рамках Международных образовательных Рождественских чтений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внутренней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врейской автономной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Биробид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епархи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равославной Церкви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казачьи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15 Стратег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историкодокументальной выставки в рамках проекта «История казачества в истории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внутренней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врейской автономной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Биробид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епархи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равославной Церкви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казачьи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15 Стратег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посетителей выставки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всероссийской научнопрактической конференции в рамках проекта «История казачества в истории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внутренней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врейской автономной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Биробид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епархи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равославной Церкви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казачьи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15 Стратег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Евразийского форума казачьей молодежи «Казачье единство»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-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внутренней поли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врейской автономной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Биробид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епархи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равославной Церкви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казачьи общества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15 Стратег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форума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участию казачьих обществ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казаков, реализующих социально ориентированные проекты, в конкурсах на получение грантов Президента Российской Федерации и иных грантов, предоставляемых федеральными органами исполнительной власти, исполнительными органами субъектов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органами местного самоуправления муниципальных 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-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азачьи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общества (по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казако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(по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гласованию),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ind w:left="146" w:right="13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724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Содейс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твие сохранению и развитию 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ьтуры российского казачеств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Всероссийского фольклорного конкурса «Казачий круг»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-8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Еврейской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тономной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казачьи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пункта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конкурса; количество зрителей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ятий в сфере казачьей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врейской автономной области,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местного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казачьи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пункта 16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ind w:left="146" w:right="137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проведенных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ривлечение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лективов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участию в культурно-просвет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проектах, информационно-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итационны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акциях и других меропри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ятиях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остоянно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врейской автон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зачьи общества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«е»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выступлений казачьих творческих коллективов и исполнителей перед личным составом комплектуемых членами казачьих обществ и иных объединений казаков воинских частей, добровольческих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составе Воору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женных Сил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епартамент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врейской автономной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казачьи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согласо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анию)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дпункт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пункта 16 Стратегии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казачьей культуры в субъектах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2 года (начиная с 2024 года)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врейской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Еврейской автономной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16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Российской Федерации, в отношении которых проводится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724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Поддержка социально-экономичес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развития российского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мер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поддержки казачьих общест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законодательства Российской Федерац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внутренней политике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врейской автономной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дпун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пункта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Стратегии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казачьих обществ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объединений казаков, привлечен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к реализации государственных и муници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пальных программ и приорите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тных национальных проектов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членов казачьих обществ о действующих мерах поддержки в сфере сельскохозяйственного производства, а также в других сферах хозяйственной и иной приносящей доход деятельности, предоставляемых федеральными органами исполнительной власти и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нительными органами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7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артамент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промышленности и сельского хозяйства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7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правительства Еврейской автономной области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казачьи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казачьих обществ, которым оказана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предприятий (хозяйствующих субъектов) казачьих обществ в Российской агропромышленной выставке "Золотая осень"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артамент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промышленности и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7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правительства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казачьи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предприятий (хозяйствующих субъектов) казачьих обществ, принявших участие в выставке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привлечению частных охранных организаций, учрежденных войсковыми казачьими обществами, к обеспечению охраны объектов социальной сферы различных форм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азачьи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общества (по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казако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(по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гласованию),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дпункт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vMerge w:val="restart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частных охранных организаций, учрежденных войсковыми казачьими обществами, привлеченных к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4724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информационного обеспечения взаимодействия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исполнительной власти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Еврейской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номной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органов мес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самоуправ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с казачьими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ми, расширение информирования общественности о деятельности российского казач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развитию электронной библиотеки казачества на платформе федеральной государственной информационной системы «Национальная электронная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-8" w:right="-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врейской 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Еврейской автономной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«в»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пункта 19 Стратег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оцифрованных документов; количество приобретенных авторских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популяризации деятельности российского казачества среди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-8" w:right="-7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автономной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азачьи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общества (по 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казако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(по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гласованию),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«г»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textDirection w:val="lrTb"/>
            <w:noWrap w:val="false"/>
          </w:tcPr>
          <w:p>
            <w:pPr>
              <w:pStyle w:val="885"/>
              <w:contextualSpacing/>
              <w:ind w:left="141" w:right="143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мероприятий; количество участников мероприятий из числа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575" w:type="dxa"/>
            <w:vAlign w:val="top"/>
            <w:vMerge w:val="restart"/>
            <w:textDirection w:val="lrTb"/>
            <w:noWrap w:val="false"/>
          </w:tcPr>
          <w:p>
            <w:pPr>
              <w:pStyle w:val="7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4110" w:type="dxa"/>
            <w:vAlign w:val="top"/>
            <w:vMerge w:val="restart"/>
            <w:textDirection w:val="lrTb"/>
            <w:noWrap w:val="false"/>
          </w:tcPr>
          <w:p>
            <w:pPr>
              <w:pStyle w:val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реализации Стратегии государственной политики Российской Федерации в отношении российского казачества на 2021 - 2030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1560" w:type="dxa"/>
            <w:vAlign w:val="top"/>
            <w:vMerge w:val="restart"/>
            <w:textDirection w:val="lrTb"/>
            <w:noWrap w:val="false"/>
          </w:tcPr>
          <w:p>
            <w:pPr>
              <w:pStyle w:val="7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49" w:type="dxa"/>
              <w:top w:w="0" w:type="dxa"/>
              <w:right w:w="149" w:type="dxa"/>
              <w:bottom w:w="0" w:type="dxa"/>
            </w:tcMar>
            <w:tcW w:w="3543" w:type="dxa"/>
            <w:vAlign w:val="top"/>
            <w:vMerge w:val="restart"/>
            <w:textDirection w:val="lrTb"/>
            <w:noWrap w:val="false"/>
          </w:tcPr>
          <w:p>
            <w:pPr>
              <w:pStyle w:val="7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информационной политике аппарата губерна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тора и правительства 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согл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асованию),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бщества и иные объединения казаков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одпункт «в»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5" w:type="dxa"/>
            <w:vAlign w:val="top"/>
            <w:vMerge w:val="restart"/>
            <w:textDirection w:val="lrTb"/>
            <w:noWrap w:val="false"/>
          </w:tcPr>
          <w:p>
            <w:pPr>
              <w:pStyle w:val="7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публикаций в средствах массовой информации и информационнотелекоммуникационной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sectPr>
      <w:footnotePr/>
      <w:endnotePr/>
      <w:type w:val="continuous"/>
      <w:pgSz w:w="16838" w:h="11906" w:orient="landscape"/>
      <w:pgMar w:top="851" w:right="1134" w:bottom="1701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</w:instrText>
    </w:r>
    <w:r>
      <w:rPr>
        <w:rFonts w:ascii="Times New Roman" w:hAnsi="Times New Roman"/>
        <w:sz w:val="24"/>
        <w:szCs w:val="24"/>
      </w:rPr>
      <w:instrText xml:space="preserve">PAGE </w:instrText>
    </w:r>
    <w:r>
      <w:rPr>
        <w:rFonts w:ascii="Times New Roman" w:hAnsi="Times New Roman"/>
        <w:sz w:val="24"/>
        <w:szCs w:val="24"/>
      </w:rPr>
      <w:instrText xml:space="preserve">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spacing w:after="0" w:line="240" w:lineRule="auto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/>
  </w:p>
  <w:p>
    <w:pPr>
      <w:pStyle w:val="88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902"/>
      </w:rPr>
      <w:framePr w:wrap="around" w:vAnchor="text" w:hAnchor="margin" w:xAlign="center" w:y="1"/>
    </w:pPr>
    <w:r>
      <w:rPr>
        <w:rStyle w:val="902"/>
      </w:rPr>
      <w:fldChar w:fldCharType="begin"/>
    </w:r>
    <w:r>
      <w:rPr>
        <w:rStyle w:val="902"/>
      </w:rPr>
      <w:instrText xml:space="preserve">PAGE  </w:instrText>
    </w:r>
    <w:r>
      <w:rPr>
        <w:rStyle w:val="902"/>
      </w:rPr>
      <w:fldChar w:fldCharType="end"/>
    </w:r>
    <w:r>
      <w:rPr>
        <w:rStyle w:val="902"/>
      </w:rPr>
    </w:r>
    <w:r/>
  </w:p>
  <w:p>
    <w:pPr>
      <w:pStyle w:val="891"/>
    </w:pPr>
    <w:r/>
    <w:r/>
  </w:p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space"/>
      <w:lvlText w:val=""/>
      <w:lvlJc w:val="left"/>
      <w:pPr>
        <w:pStyle w:val="885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85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5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5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5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85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space"/>
      <w:lvlText w:val="%1.%2."/>
      <w:lvlJc w:val="left"/>
      <w:pPr>
        <w:pStyle w:val="885"/>
        <w:ind w:left="360" w:hanging="36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85"/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85"/>
        <w:ind w:left="720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85"/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85"/>
        <w:ind w:left="1080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85"/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85"/>
        <w:ind w:left="1440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85"/>
        <w:ind w:left="1800" w:hanging="1800"/>
      </w:pPr>
      <w:rPr>
        <w:rFonts w:cs="Times New Roman"/>
      </w:rPr>
    </w:lvl>
  </w:abstractNum>
  <w:abstractNum w:abstractNumId="2">
    <w:multiLevelType w:val="hybridMultilevel"/>
    <w:lvl w:ilvl="0">
      <w:start w:val="0"/>
      <w:numFmt w:val="bullet"/>
      <w:isLgl w:val="false"/>
      <w:suff w:val="space"/>
      <w:lvlText w:val=""/>
      <w:lvlJc w:val="left"/>
      <w:pPr>
        <w:pStyle w:val="885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85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5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5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5"/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0"/>
      <w:numFmt w:val="bullet"/>
      <w:isLgl w:val="false"/>
      <w:suff w:val="space"/>
      <w:lvlText w:val=""/>
      <w:lvlJc w:val="left"/>
      <w:pPr>
        <w:pStyle w:val="885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85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5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5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5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pStyle w:val="885"/>
        <w:ind w:left="212" w:hanging="420"/>
      </w:pPr>
      <w:rPr>
        <w:rFonts w:cs="Times New Roman"/>
      </w:rPr>
    </w:lvl>
    <w:lvl w:ilvl="1">
      <w:start w:val="1"/>
      <w:numFmt w:val="decimal"/>
      <w:isLgl w:val="false"/>
      <w:suff w:val="space"/>
      <w:lvlText w:val="%1.%2."/>
      <w:lvlJc w:val="left"/>
      <w:pPr>
        <w:pStyle w:val="885"/>
        <w:ind w:left="420" w:hanging="420"/>
      </w:pPr>
      <w:rPr>
        <w:rFonts w:ascii="Times New Roman" w:hAnsi="Times New Roman" w:eastAsia="Times New Roman" w:cs="Times New Roman"/>
        <w:spacing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pStyle w:val="885"/>
        <w:ind w:left="3179" w:hanging="420"/>
      </w:pPr>
    </w:lvl>
    <w:lvl w:ilvl="3">
      <w:start w:val="0"/>
      <w:numFmt w:val="bullet"/>
      <w:isLgl w:val="false"/>
      <w:suff w:val="tab"/>
      <w:lvlText w:val="•"/>
      <w:lvlJc w:val="left"/>
      <w:pPr>
        <w:pStyle w:val="885"/>
        <w:ind w:left="4659" w:hanging="420"/>
      </w:pPr>
    </w:lvl>
    <w:lvl w:ilvl="4">
      <w:start w:val="0"/>
      <w:numFmt w:val="bullet"/>
      <w:isLgl w:val="false"/>
      <w:suff w:val="tab"/>
      <w:lvlText w:val="•"/>
      <w:lvlJc w:val="left"/>
      <w:pPr>
        <w:pStyle w:val="885"/>
        <w:ind w:left="6139" w:hanging="420"/>
      </w:pPr>
    </w:lvl>
    <w:lvl w:ilvl="5">
      <w:start w:val="0"/>
      <w:numFmt w:val="bullet"/>
      <w:isLgl w:val="false"/>
      <w:suff w:val="tab"/>
      <w:lvlText w:val="•"/>
      <w:lvlJc w:val="left"/>
      <w:pPr>
        <w:pStyle w:val="885"/>
        <w:ind w:left="7619" w:hanging="420"/>
      </w:pPr>
    </w:lvl>
    <w:lvl w:ilvl="6">
      <w:start w:val="0"/>
      <w:numFmt w:val="bullet"/>
      <w:isLgl w:val="false"/>
      <w:suff w:val="tab"/>
      <w:lvlText w:val="•"/>
      <w:lvlJc w:val="left"/>
      <w:pPr>
        <w:pStyle w:val="885"/>
        <w:ind w:left="9099" w:hanging="420"/>
      </w:pPr>
    </w:lvl>
    <w:lvl w:ilvl="7">
      <w:start w:val="0"/>
      <w:numFmt w:val="bullet"/>
      <w:isLgl w:val="false"/>
      <w:suff w:val="tab"/>
      <w:lvlText w:val="•"/>
      <w:lvlJc w:val="left"/>
      <w:pPr>
        <w:pStyle w:val="885"/>
        <w:ind w:left="10578" w:hanging="420"/>
      </w:pPr>
    </w:lvl>
    <w:lvl w:ilvl="8">
      <w:start w:val="0"/>
      <w:numFmt w:val="bullet"/>
      <w:isLgl w:val="false"/>
      <w:suff w:val="tab"/>
      <w:lvlText w:val="•"/>
      <w:lvlJc w:val="left"/>
      <w:pPr>
        <w:pStyle w:val="885"/>
        <w:ind w:left="12058" w:hanging="420"/>
      </w:pPr>
    </w:lvl>
  </w:abstractNum>
  <w:abstractNum w:abstractNumId="5">
    <w:multiLevelType w:val="hybridMultilevel"/>
    <w:lvl w:ilvl="0">
      <w:start w:val="0"/>
      <w:numFmt w:val="bullet"/>
      <w:isLgl w:val="false"/>
      <w:suff w:val="space"/>
      <w:lvlText w:val=""/>
      <w:lvlJc w:val="left"/>
      <w:pPr>
        <w:pStyle w:val="885"/>
        <w:ind w:left="720" w:hanging="360"/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885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85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85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85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85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85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85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85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85"/>
        <w:ind w:left="212" w:hanging="459"/>
      </w:pPr>
      <w:rPr>
        <w:rFonts w:cs="Times New Roman"/>
      </w:rPr>
    </w:lvl>
    <w:lvl w:ilvl="1">
      <w:start w:val="1"/>
      <w:numFmt w:val="decimal"/>
      <w:isLgl w:val="false"/>
      <w:suff w:val="space"/>
      <w:lvlText w:val="%1.%2."/>
      <w:lvlJc w:val="left"/>
      <w:pPr>
        <w:pStyle w:val="885"/>
        <w:ind w:left="212" w:hanging="459"/>
      </w:pPr>
      <w:rPr>
        <w:rFonts w:ascii="Times New Roman" w:hAnsi="Times New Roman" w:eastAsia="Times New Roman" w:cs="Times New Roman"/>
        <w:spacing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pStyle w:val="885"/>
        <w:ind w:left="3179" w:hanging="459"/>
      </w:pPr>
    </w:lvl>
    <w:lvl w:ilvl="3">
      <w:start w:val="0"/>
      <w:numFmt w:val="bullet"/>
      <w:isLgl w:val="false"/>
      <w:suff w:val="tab"/>
      <w:lvlText w:val="•"/>
      <w:lvlJc w:val="left"/>
      <w:pPr>
        <w:pStyle w:val="885"/>
        <w:ind w:left="4659" w:hanging="459"/>
      </w:pPr>
    </w:lvl>
    <w:lvl w:ilvl="4">
      <w:start w:val="0"/>
      <w:numFmt w:val="bullet"/>
      <w:isLgl w:val="false"/>
      <w:suff w:val="tab"/>
      <w:lvlText w:val="•"/>
      <w:lvlJc w:val="left"/>
      <w:pPr>
        <w:pStyle w:val="885"/>
        <w:ind w:left="6139" w:hanging="459"/>
      </w:pPr>
    </w:lvl>
    <w:lvl w:ilvl="5">
      <w:start w:val="0"/>
      <w:numFmt w:val="bullet"/>
      <w:isLgl w:val="false"/>
      <w:suff w:val="tab"/>
      <w:lvlText w:val="•"/>
      <w:lvlJc w:val="left"/>
      <w:pPr>
        <w:pStyle w:val="885"/>
        <w:ind w:left="7619" w:hanging="459"/>
      </w:pPr>
    </w:lvl>
    <w:lvl w:ilvl="6">
      <w:start w:val="0"/>
      <w:numFmt w:val="bullet"/>
      <w:isLgl w:val="false"/>
      <w:suff w:val="tab"/>
      <w:lvlText w:val="•"/>
      <w:lvlJc w:val="left"/>
      <w:pPr>
        <w:pStyle w:val="885"/>
        <w:ind w:left="9099" w:hanging="459"/>
      </w:pPr>
    </w:lvl>
    <w:lvl w:ilvl="7">
      <w:start w:val="0"/>
      <w:numFmt w:val="bullet"/>
      <w:isLgl w:val="false"/>
      <w:suff w:val="tab"/>
      <w:lvlText w:val="•"/>
      <w:lvlJc w:val="left"/>
      <w:pPr>
        <w:pStyle w:val="885"/>
        <w:ind w:left="10578" w:hanging="459"/>
      </w:pPr>
    </w:lvl>
    <w:lvl w:ilvl="8">
      <w:start w:val="0"/>
      <w:numFmt w:val="bullet"/>
      <w:isLgl w:val="false"/>
      <w:suff w:val="tab"/>
      <w:lvlText w:val="•"/>
      <w:lvlJc w:val="left"/>
      <w:pPr>
        <w:pStyle w:val="885"/>
        <w:ind w:left="12058" w:hanging="459"/>
      </w:p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pStyle w:val="885"/>
        <w:ind w:left="5623" w:hanging="240"/>
      </w:pPr>
      <w:rPr>
        <w:rFonts w:ascii="Times New Roman" w:hAnsi="Times New Roman" w:eastAsia="Times New Roman" w:cs="Times New Roman"/>
        <w:spacing w:val="-2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pStyle w:val="885"/>
        <w:ind w:left="6559" w:hanging="240"/>
      </w:pPr>
    </w:lvl>
    <w:lvl w:ilvl="2">
      <w:start w:val="0"/>
      <w:numFmt w:val="bullet"/>
      <w:isLgl w:val="false"/>
      <w:suff w:val="tab"/>
      <w:lvlText w:val="•"/>
      <w:lvlJc w:val="left"/>
      <w:pPr>
        <w:pStyle w:val="885"/>
        <w:ind w:left="7499" w:hanging="240"/>
      </w:pPr>
    </w:lvl>
    <w:lvl w:ilvl="3">
      <w:start w:val="0"/>
      <w:numFmt w:val="bullet"/>
      <w:isLgl w:val="false"/>
      <w:suff w:val="tab"/>
      <w:lvlText w:val="•"/>
      <w:lvlJc w:val="left"/>
      <w:pPr>
        <w:pStyle w:val="885"/>
        <w:ind w:left="8439" w:hanging="240"/>
      </w:pPr>
    </w:lvl>
    <w:lvl w:ilvl="4">
      <w:start w:val="0"/>
      <w:numFmt w:val="bullet"/>
      <w:isLgl w:val="false"/>
      <w:suff w:val="tab"/>
      <w:lvlText w:val="•"/>
      <w:lvlJc w:val="left"/>
      <w:pPr>
        <w:pStyle w:val="885"/>
        <w:ind w:left="9379" w:hanging="240"/>
      </w:pPr>
    </w:lvl>
    <w:lvl w:ilvl="5">
      <w:start w:val="0"/>
      <w:numFmt w:val="bullet"/>
      <w:isLgl w:val="false"/>
      <w:suff w:val="tab"/>
      <w:lvlText w:val="•"/>
      <w:lvlJc w:val="left"/>
      <w:pPr>
        <w:pStyle w:val="885"/>
        <w:ind w:left="10319" w:hanging="240"/>
      </w:pPr>
    </w:lvl>
    <w:lvl w:ilvl="6">
      <w:start w:val="0"/>
      <w:numFmt w:val="bullet"/>
      <w:isLgl w:val="false"/>
      <w:suff w:val="tab"/>
      <w:lvlText w:val="•"/>
      <w:lvlJc w:val="left"/>
      <w:pPr>
        <w:pStyle w:val="885"/>
        <w:ind w:left="11259" w:hanging="240"/>
      </w:pPr>
    </w:lvl>
    <w:lvl w:ilvl="7">
      <w:start w:val="0"/>
      <w:numFmt w:val="bullet"/>
      <w:isLgl w:val="false"/>
      <w:suff w:val="tab"/>
      <w:lvlText w:val="•"/>
      <w:lvlJc w:val="left"/>
      <w:pPr>
        <w:pStyle w:val="885"/>
        <w:ind w:left="12198" w:hanging="240"/>
      </w:pPr>
    </w:lvl>
    <w:lvl w:ilvl="8">
      <w:start w:val="0"/>
      <w:numFmt w:val="bullet"/>
      <w:isLgl w:val="false"/>
      <w:suff w:val="tab"/>
      <w:lvlText w:val="•"/>
      <w:lvlJc w:val="left"/>
      <w:pPr>
        <w:pStyle w:val="885"/>
        <w:ind w:left="13138" w:hanging="24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5"/>
    <w:next w:val="885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8">
    <w:name w:val="Heading 1 Char"/>
    <w:link w:val="707"/>
    <w:uiPriority w:val="9"/>
    <w:rPr>
      <w:rFonts w:ascii="Arial" w:hAnsi="Arial" w:eastAsia="Arial" w:cs="Arial"/>
      <w:sz w:val="40"/>
      <w:szCs w:val="40"/>
    </w:rPr>
  </w:style>
  <w:style w:type="paragraph" w:styleId="709">
    <w:name w:val="Heading 2"/>
    <w:basedOn w:val="885"/>
    <w:next w:val="885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0">
    <w:name w:val="Heading 2 Char"/>
    <w:link w:val="709"/>
    <w:uiPriority w:val="9"/>
    <w:rPr>
      <w:rFonts w:ascii="Arial" w:hAnsi="Arial" w:eastAsia="Arial" w:cs="Arial"/>
      <w:sz w:val="34"/>
    </w:rPr>
  </w:style>
  <w:style w:type="paragraph" w:styleId="711">
    <w:name w:val="Heading 3"/>
    <w:basedOn w:val="885"/>
    <w:next w:val="885"/>
    <w:link w:val="71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2">
    <w:name w:val="Heading 3 Char"/>
    <w:link w:val="711"/>
    <w:uiPriority w:val="9"/>
    <w:rPr>
      <w:rFonts w:ascii="Arial" w:hAnsi="Arial" w:eastAsia="Arial" w:cs="Arial"/>
      <w:sz w:val="30"/>
      <w:szCs w:val="30"/>
    </w:rPr>
  </w:style>
  <w:style w:type="paragraph" w:styleId="713">
    <w:name w:val="Heading 4"/>
    <w:basedOn w:val="885"/>
    <w:next w:val="885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4">
    <w:name w:val="Heading 4 Char"/>
    <w:link w:val="71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5"/>
    <w:next w:val="885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5"/>
    <w:next w:val="885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5"/>
    <w:next w:val="885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5"/>
    <w:next w:val="885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5"/>
    <w:next w:val="885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885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paragraph" w:styleId="727">
    <w:name w:val="Title"/>
    <w:basedOn w:val="885"/>
    <w:next w:val="885"/>
    <w:link w:val="7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8">
    <w:name w:val="Title Char"/>
    <w:link w:val="727"/>
    <w:uiPriority w:val="10"/>
    <w:rPr>
      <w:sz w:val="48"/>
      <w:szCs w:val="48"/>
    </w:rPr>
  </w:style>
  <w:style w:type="paragraph" w:styleId="729">
    <w:name w:val="Subtitle"/>
    <w:basedOn w:val="885"/>
    <w:next w:val="885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>
    <w:name w:val="Subtitle Char"/>
    <w:link w:val="729"/>
    <w:uiPriority w:val="11"/>
    <w:rPr>
      <w:sz w:val="24"/>
      <w:szCs w:val="24"/>
    </w:rPr>
  </w:style>
  <w:style w:type="paragraph" w:styleId="731">
    <w:name w:val="Quote"/>
    <w:basedOn w:val="885"/>
    <w:next w:val="885"/>
    <w:link w:val="732"/>
    <w:uiPriority w:val="29"/>
    <w:qFormat/>
    <w:pPr>
      <w:ind w:left="720" w:right="720"/>
    </w:pPr>
    <w:rPr>
      <w:i/>
    </w:r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5"/>
    <w:next w:val="885"/>
    <w:link w:val="7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>
    <w:name w:val="Intense Quote Char"/>
    <w:link w:val="733"/>
    <w:uiPriority w:val="30"/>
    <w:rPr>
      <w:i/>
    </w:rPr>
  </w:style>
  <w:style w:type="paragraph" w:styleId="735">
    <w:name w:val="Header"/>
    <w:basedOn w:val="885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Header Char"/>
    <w:link w:val="735"/>
    <w:uiPriority w:val="99"/>
  </w:style>
  <w:style w:type="paragraph" w:styleId="737">
    <w:name w:val="Footer"/>
    <w:basedOn w:val="885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>
    <w:name w:val="Footer Char"/>
    <w:link w:val="737"/>
    <w:uiPriority w:val="99"/>
  </w:style>
  <w:style w:type="paragraph" w:styleId="739">
    <w:name w:val="Caption"/>
    <w:basedOn w:val="885"/>
    <w:next w:val="8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737"/>
    <w:uiPriority w:val="99"/>
  </w:style>
  <w:style w:type="table" w:styleId="74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7">
    <w:name w:val="Hyperlink"/>
    <w:uiPriority w:val="99"/>
    <w:unhideWhenUsed/>
    <w:rPr>
      <w:color w:val="0000ff" w:themeColor="hyperlink"/>
      <w:u w:val="single"/>
    </w:rPr>
  </w:style>
  <w:style w:type="paragraph" w:styleId="868">
    <w:name w:val="footnote text"/>
    <w:basedOn w:val="885"/>
    <w:link w:val="869"/>
    <w:uiPriority w:val="99"/>
    <w:semiHidden/>
    <w:unhideWhenUsed/>
    <w:pPr>
      <w:spacing w:after="40" w:line="240" w:lineRule="auto"/>
    </w:pPr>
    <w:rPr>
      <w:sz w:val="18"/>
    </w:r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pPr>
      <w:spacing w:after="0" w:line="240" w:lineRule="auto"/>
    </w:pPr>
    <w:rPr>
      <w:sz w:val="20"/>
    </w:r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next w:val="885"/>
    <w:link w:val="885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86">
    <w:name w:val="Основной шрифт абзаца"/>
    <w:next w:val="886"/>
    <w:link w:val="885"/>
    <w:uiPriority w:val="1"/>
    <w:semiHidden/>
    <w:unhideWhenUsed/>
  </w:style>
  <w:style w:type="table" w:styleId="887">
    <w:name w:val="Обычная таблица"/>
    <w:next w:val="887"/>
    <w:link w:val="885"/>
    <w:uiPriority w:val="99"/>
    <w:semiHidden/>
    <w:unhideWhenUsed/>
    <w:tblPr/>
  </w:style>
  <w:style w:type="numbering" w:styleId="888">
    <w:name w:val="Нет списка"/>
    <w:next w:val="888"/>
    <w:link w:val="885"/>
    <w:uiPriority w:val="99"/>
    <w:semiHidden/>
    <w:unhideWhenUsed/>
  </w:style>
  <w:style w:type="paragraph" w:styleId="889">
    <w:name w:val="Текст выноски"/>
    <w:basedOn w:val="885"/>
    <w:next w:val="889"/>
    <w:link w:val="89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90">
    <w:name w:val="Текст выноски Знак"/>
    <w:next w:val="890"/>
    <w:link w:val="889"/>
    <w:uiPriority w:val="99"/>
    <w:semiHidden/>
    <w:rPr>
      <w:rFonts w:ascii="Tahoma" w:hAnsi="Tahoma" w:cs="Tahoma"/>
      <w:sz w:val="16"/>
      <w:szCs w:val="16"/>
    </w:rPr>
  </w:style>
  <w:style w:type="paragraph" w:styleId="891">
    <w:name w:val="Верхний колонтитул"/>
    <w:basedOn w:val="885"/>
    <w:next w:val="891"/>
    <w:link w:val="892"/>
    <w:uiPriority w:val="99"/>
    <w:unhideWhenUsed/>
    <w:pPr>
      <w:tabs>
        <w:tab w:val="center" w:pos="4677" w:leader="none"/>
        <w:tab w:val="right" w:pos="9355" w:leader="none"/>
      </w:tabs>
    </w:pPr>
    <w:rPr>
      <w:rFonts w:eastAsia="Times New Roman"/>
    </w:rPr>
  </w:style>
  <w:style w:type="character" w:styleId="892">
    <w:name w:val="Верхний колонтитул Знак"/>
    <w:next w:val="892"/>
    <w:link w:val="891"/>
    <w:uiPriority w:val="99"/>
    <w:rPr>
      <w:rFonts w:eastAsia="Times New Roman"/>
      <w:sz w:val="22"/>
      <w:szCs w:val="22"/>
      <w:lang w:eastAsia="en-US"/>
    </w:rPr>
  </w:style>
  <w:style w:type="paragraph" w:styleId="893">
    <w:name w:val="Основной текст"/>
    <w:basedOn w:val="885"/>
    <w:next w:val="893"/>
    <w:link w:val="894"/>
    <w:uiPriority w:val="99"/>
    <w:qFormat/>
    <w:pPr>
      <w:spacing w:after="0" w:line="240" w:lineRule="auto"/>
      <w:widowControl w:val="off"/>
    </w:pPr>
    <w:rPr>
      <w:rFonts w:eastAsia="Times New Roman"/>
      <w:sz w:val="24"/>
      <w:szCs w:val="24"/>
      <w:lang w:eastAsia="ru-RU"/>
    </w:rPr>
  </w:style>
  <w:style w:type="character" w:styleId="894">
    <w:name w:val="Основной текст Знак"/>
    <w:next w:val="894"/>
    <w:link w:val="893"/>
    <w:uiPriority w:val="99"/>
    <w:rPr>
      <w:rFonts w:eastAsia="Times New Roman"/>
      <w:sz w:val="24"/>
      <w:szCs w:val="24"/>
    </w:rPr>
  </w:style>
  <w:style w:type="paragraph" w:styleId="895">
    <w:name w:val="Абзац списка"/>
    <w:basedOn w:val="885"/>
    <w:next w:val="895"/>
    <w:link w:val="885"/>
    <w:uiPriority w:val="34"/>
    <w:qFormat/>
    <w:pPr>
      <w:ind w:left="1060" w:hanging="140"/>
      <w:spacing w:after="0" w:line="240" w:lineRule="auto"/>
      <w:widowControl w:val="off"/>
    </w:pPr>
    <w:rPr>
      <w:rFonts w:eastAsia="Times New Roman"/>
      <w:lang w:eastAsia="ru-RU"/>
    </w:rPr>
  </w:style>
  <w:style w:type="paragraph" w:styleId="896">
    <w:name w:val="Table Paragraph"/>
    <w:basedOn w:val="885"/>
    <w:next w:val="896"/>
    <w:link w:val="885"/>
    <w:uiPriority w:val="1"/>
    <w:qFormat/>
    <w:pPr>
      <w:spacing w:after="0" w:line="240" w:lineRule="auto"/>
      <w:widowControl w:val="off"/>
    </w:pPr>
    <w:rPr>
      <w:rFonts w:eastAsia="Times New Roman"/>
      <w:lang w:eastAsia="ru-RU"/>
    </w:rPr>
  </w:style>
  <w:style w:type="paragraph" w:styleId="897">
    <w:name w:val="ConsPlusNormal"/>
    <w:next w:val="897"/>
    <w:link w:val="885"/>
    <w:pPr>
      <w:widowControl w:val="off"/>
    </w:pPr>
    <w:rPr>
      <w:rFonts w:eastAsia="Times New Roman" w:cs="Calibri"/>
      <w:sz w:val="22"/>
      <w:lang w:val="ru-RU" w:eastAsia="ru-RU" w:bidi="ar-SA"/>
    </w:rPr>
  </w:style>
  <w:style w:type="paragraph" w:styleId="898">
    <w:name w:val="Обычный (веб)"/>
    <w:basedOn w:val="885"/>
    <w:next w:val="898"/>
    <w:link w:val="885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899">
    <w:name w:val="Строгий"/>
    <w:next w:val="899"/>
    <w:link w:val="885"/>
    <w:uiPriority w:val="22"/>
    <w:qFormat/>
    <w:rPr>
      <w:rFonts w:cs="Times New Roman"/>
      <w:b/>
      <w:bCs/>
    </w:rPr>
  </w:style>
  <w:style w:type="paragraph" w:styleId="900">
    <w:name w:val="Нижний колонтитул"/>
    <w:basedOn w:val="885"/>
    <w:next w:val="900"/>
    <w:link w:val="9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1">
    <w:name w:val="Нижний колонтитул Знак"/>
    <w:next w:val="901"/>
    <w:link w:val="900"/>
    <w:uiPriority w:val="99"/>
    <w:rPr>
      <w:sz w:val="22"/>
      <w:szCs w:val="22"/>
      <w:lang w:eastAsia="en-US"/>
    </w:rPr>
  </w:style>
  <w:style w:type="character" w:styleId="902">
    <w:name w:val="Номер страницы"/>
    <w:basedOn w:val="886"/>
    <w:next w:val="902"/>
    <w:link w:val="885"/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revision>10</cp:revision>
  <dcterms:created xsi:type="dcterms:W3CDTF">2021-05-24T07:59:00Z</dcterms:created>
  <dcterms:modified xsi:type="dcterms:W3CDTF">2023-12-19T04:04:07Z</dcterms:modified>
  <cp:version>1048576</cp:version>
</cp:coreProperties>
</file>